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075" w:type="dxa"/>
        <w:tblInd w:w="660" w:type="dxa"/>
        <w:tblLook w:val="04A0" w:firstRow="1" w:lastRow="0" w:firstColumn="1" w:lastColumn="0" w:noHBand="0" w:noVBand="1"/>
      </w:tblPr>
      <w:tblGrid>
        <w:gridCol w:w="1160"/>
        <w:gridCol w:w="6915"/>
      </w:tblGrid>
      <w:tr w:rsidR="006D6259" w:rsidRPr="00E171FD" w:rsidTr="005F1BDC">
        <w:trPr>
          <w:trHeight w:val="664"/>
        </w:trPr>
        <w:tc>
          <w:tcPr>
            <w:tcW w:w="1160" w:type="dxa"/>
            <w:vAlign w:val="center"/>
          </w:tcPr>
          <w:p w:rsidR="006D6259" w:rsidRPr="00E171FD" w:rsidRDefault="006D6259" w:rsidP="005F1BDC">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Sr. No</w:t>
            </w:r>
          </w:p>
        </w:tc>
        <w:tc>
          <w:tcPr>
            <w:tcW w:w="6915" w:type="dxa"/>
            <w:vAlign w:val="center"/>
          </w:tcPr>
          <w:p w:rsidR="006D6259" w:rsidRPr="00E171FD" w:rsidRDefault="006D6259" w:rsidP="005F1BDC">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Programme Name</w:t>
            </w:r>
          </w:p>
        </w:tc>
      </w:tr>
      <w:tr w:rsidR="006D6259" w:rsidRPr="000F54CC" w:rsidTr="005F1BDC">
        <w:trPr>
          <w:trHeight w:val="652"/>
        </w:trPr>
        <w:tc>
          <w:tcPr>
            <w:tcW w:w="1160" w:type="dxa"/>
            <w:vAlign w:val="center"/>
          </w:tcPr>
          <w:p w:rsidR="006D6259" w:rsidRPr="000F54CC" w:rsidRDefault="006D6259" w:rsidP="005F1BDC">
            <w:pPr>
              <w:tabs>
                <w:tab w:val="left" w:pos="3147"/>
              </w:tabs>
              <w:spacing w:line="480" w:lineRule="auto"/>
              <w:jc w:val="center"/>
              <w:rPr>
                <w:rFonts w:ascii="Times New Roman" w:hAnsi="Times New Roman" w:cs="Times New Roman"/>
                <w:bCs/>
                <w:color w:val="000000" w:themeColor="text1"/>
                <w:sz w:val="24"/>
                <w:szCs w:val="24"/>
              </w:rPr>
            </w:pPr>
            <w:r w:rsidRPr="000F54CC">
              <w:rPr>
                <w:rFonts w:ascii="Times New Roman" w:hAnsi="Times New Roman" w:cs="Times New Roman"/>
                <w:bCs/>
                <w:color w:val="000000" w:themeColor="text1"/>
                <w:sz w:val="24"/>
                <w:szCs w:val="24"/>
              </w:rPr>
              <w:t>1</w:t>
            </w:r>
          </w:p>
        </w:tc>
        <w:tc>
          <w:tcPr>
            <w:tcW w:w="6915" w:type="dxa"/>
            <w:vAlign w:val="center"/>
          </w:tcPr>
          <w:p w:rsidR="006D6259" w:rsidRPr="000F54CC" w:rsidRDefault="006D6259" w:rsidP="005F1BDC">
            <w:pPr>
              <w:tabs>
                <w:tab w:val="left" w:pos="3147"/>
              </w:tabs>
              <w:spacing w:line="48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POs of B. Sc</w:t>
            </w:r>
            <w:r>
              <w:rPr>
                <w:rFonts w:ascii="Times New Roman" w:hAnsi="Times New Roman" w:cs="Times New Roman"/>
                <w:bCs/>
                <w:color w:val="000000" w:themeColor="text1"/>
                <w:sz w:val="24"/>
                <w:szCs w:val="24"/>
              </w:rPr>
              <w:t>. (UG) (CBCS) Programme</w:t>
            </w:r>
          </w:p>
        </w:tc>
      </w:tr>
    </w:tbl>
    <w:p w:rsidR="0098787E" w:rsidRDefault="0098787E"/>
    <w:p w:rsidR="006D6259" w:rsidRDefault="006D6259"/>
    <w:tbl>
      <w:tblPr>
        <w:tblStyle w:val="TableGrid"/>
        <w:tblW w:w="9498" w:type="dxa"/>
        <w:tblInd w:w="-431" w:type="dxa"/>
        <w:tblLook w:val="04A0" w:firstRow="1" w:lastRow="0" w:firstColumn="1" w:lastColumn="0" w:noHBand="0" w:noVBand="1"/>
      </w:tblPr>
      <w:tblGrid>
        <w:gridCol w:w="1333"/>
        <w:gridCol w:w="2062"/>
        <w:gridCol w:w="6103"/>
      </w:tblGrid>
      <w:tr w:rsidR="006D6259" w:rsidRPr="0096181B" w:rsidTr="00AC2B20">
        <w:tc>
          <w:tcPr>
            <w:tcW w:w="1333" w:type="dxa"/>
            <w:vAlign w:val="center"/>
          </w:tcPr>
          <w:p w:rsidR="006D6259" w:rsidRPr="004C54AD" w:rsidRDefault="006D6259" w:rsidP="005F1BDC">
            <w:pPr>
              <w:jc w:val="center"/>
              <w:rPr>
                <w:rFonts w:ascii="Times New Roman" w:hAnsi="Times New Roman" w:cs="Times New Roman"/>
                <w:b/>
                <w:bCs/>
                <w:color w:val="0070C0"/>
              </w:rPr>
            </w:pPr>
            <w:r w:rsidRPr="004C54AD">
              <w:rPr>
                <w:rFonts w:ascii="Times New Roman" w:hAnsi="Times New Roman" w:cs="Times New Roman"/>
                <w:b/>
                <w:bCs/>
                <w:color w:val="0070C0"/>
              </w:rPr>
              <w:t>Program Name</w:t>
            </w:r>
          </w:p>
        </w:tc>
        <w:tc>
          <w:tcPr>
            <w:tcW w:w="2062" w:type="dxa"/>
            <w:vAlign w:val="center"/>
          </w:tcPr>
          <w:p w:rsidR="006D6259" w:rsidRPr="004C54AD" w:rsidRDefault="006D6259" w:rsidP="005F1BDC">
            <w:pPr>
              <w:jc w:val="center"/>
              <w:rPr>
                <w:rFonts w:ascii="Times New Roman" w:hAnsi="Times New Roman" w:cs="Times New Roman"/>
                <w:b/>
                <w:bCs/>
                <w:color w:val="0070C0"/>
              </w:rPr>
            </w:pPr>
            <w:r>
              <w:rPr>
                <w:rFonts w:ascii="Times New Roman" w:hAnsi="Times New Roman" w:cs="Times New Roman"/>
                <w:b/>
                <w:bCs/>
                <w:color w:val="0070C0"/>
              </w:rPr>
              <w:t>Subject</w:t>
            </w:r>
          </w:p>
        </w:tc>
        <w:tc>
          <w:tcPr>
            <w:tcW w:w="6103" w:type="dxa"/>
            <w:vAlign w:val="center"/>
          </w:tcPr>
          <w:p w:rsidR="006D6259" w:rsidRPr="004C54AD" w:rsidRDefault="006D6259" w:rsidP="005F1BDC">
            <w:pPr>
              <w:jc w:val="center"/>
              <w:rPr>
                <w:rFonts w:ascii="Times New Roman" w:hAnsi="Times New Roman" w:cs="Times New Roman"/>
                <w:b/>
                <w:bCs/>
                <w:color w:val="0070C0"/>
              </w:rPr>
            </w:pPr>
            <w:r>
              <w:rPr>
                <w:rFonts w:ascii="Times New Roman" w:hAnsi="Times New Roman" w:cs="Times New Roman"/>
                <w:b/>
                <w:bCs/>
                <w:color w:val="0070C0"/>
              </w:rPr>
              <w:t xml:space="preserve">Program </w:t>
            </w:r>
            <w:r w:rsidRPr="004C54AD">
              <w:rPr>
                <w:rFonts w:ascii="Times New Roman" w:hAnsi="Times New Roman" w:cs="Times New Roman"/>
                <w:b/>
                <w:bCs/>
                <w:color w:val="0070C0"/>
              </w:rPr>
              <w:t xml:space="preserve"> Outcomes (</w:t>
            </w:r>
            <w:proofErr w:type="spellStart"/>
            <w:r>
              <w:rPr>
                <w:rFonts w:ascii="Times New Roman" w:hAnsi="Times New Roman" w:cs="Times New Roman"/>
                <w:b/>
                <w:bCs/>
                <w:color w:val="0070C0"/>
              </w:rPr>
              <w:t>Po</w:t>
            </w:r>
            <w:r w:rsidRPr="004C54AD">
              <w:rPr>
                <w:rFonts w:ascii="Times New Roman" w:hAnsi="Times New Roman" w:cs="Times New Roman"/>
                <w:b/>
                <w:bCs/>
                <w:color w:val="0070C0"/>
              </w:rPr>
              <w:t>s</w:t>
            </w:r>
            <w:proofErr w:type="spellEnd"/>
            <w:r>
              <w:rPr>
                <w:rFonts w:ascii="Times New Roman" w:hAnsi="Times New Roman" w:cs="Times New Roman"/>
                <w:b/>
                <w:bCs/>
                <w:color w:val="0070C0"/>
              </w:rPr>
              <w:t>)</w:t>
            </w:r>
          </w:p>
        </w:tc>
      </w:tr>
      <w:tr w:rsidR="006D6259" w:rsidRPr="0096181B" w:rsidTr="005F1BDC">
        <w:tc>
          <w:tcPr>
            <w:tcW w:w="1333" w:type="dxa"/>
            <w:vMerge w:val="restart"/>
            <w:vAlign w:val="center"/>
          </w:tcPr>
          <w:p w:rsidR="006D6259" w:rsidRPr="00A838B8" w:rsidRDefault="006D6259" w:rsidP="005F1BDC">
            <w:pPr>
              <w:jc w:val="center"/>
              <w:rPr>
                <w:rFonts w:ascii="Times New Roman" w:hAnsi="Times New Roman" w:cs="Times New Roman"/>
              </w:rPr>
            </w:pPr>
            <w:r w:rsidRPr="00A838B8">
              <w:rPr>
                <w:rFonts w:ascii="Times New Roman" w:hAnsi="Times New Roman" w:cs="Times New Roman"/>
              </w:rPr>
              <w:t>B.SC</w:t>
            </w:r>
            <w:r>
              <w:rPr>
                <w:rFonts w:ascii="Times New Roman" w:hAnsi="Times New Roman" w:cs="Times New Roman"/>
              </w:rPr>
              <w:t>-1,2</w:t>
            </w:r>
          </w:p>
        </w:tc>
        <w:tc>
          <w:tcPr>
            <w:tcW w:w="2062" w:type="dxa"/>
            <w:vMerge w:val="restart"/>
            <w:vAlign w:val="center"/>
          </w:tcPr>
          <w:p w:rsidR="006D6259" w:rsidRDefault="006D6259" w:rsidP="005F1BDC">
            <w:pPr>
              <w:jc w:val="center"/>
              <w:rPr>
                <w:rFonts w:ascii="Times New Roman" w:hAnsi="Times New Roman" w:cs="Times New Roman"/>
              </w:rPr>
            </w:pPr>
            <w:r w:rsidRPr="006D6259">
              <w:rPr>
                <w:rFonts w:ascii="Times New Roman" w:hAnsi="Times New Roman" w:cs="Times New Roman"/>
              </w:rPr>
              <w:t xml:space="preserve">Chemistry, Botany, Zoology, Physics &amp; </w:t>
            </w:r>
            <w:r>
              <w:rPr>
                <w:rFonts w:ascii="Times New Roman" w:hAnsi="Times New Roman" w:cs="Times New Roman"/>
              </w:rPr>
              <w:t>Computer Science</w:t>
            </w:r>
          </w:p>
        </w:tc>
        <w:tc>
          <w:tcPr>
            <w:tcW w:w="6103" w:type="dxa"/>
          </w:tcPr>
          <w:p w:rsidR="006D6259" w:rsidRPr="003360C4" w:rsidRDefault="006D6259" w:rsidP="005F1BDC">
            <w:pPr>
              <w:jc w:val="both"/>
              <w:rPr>
                <w:rFonts w:ascii="Times New Roman" w:hAnsi="Times New Roman" w:cs="Times New Roman"/>
                <w:color w:val="FF0066"/>
              </w:rPr>
            </w:pPr>
            <w:r w:rsidRPr="003360C4">
              <w:rPr>
                <w:rFonts w:ascii="Times New Roman" w:hAnsi="Times New Roman" w:cs="Times New Roman"/>
                <w:color w:val="FF0066"/>
              </w:rPr>
              <w:t>PO1 Critical Thinking</w:t>
            </w:r>
            <w:r w:rsidRPr="003360C4">
              <w:rPr>
                <w:rFonts w:ascii="Times New Roman" w:hAnsi="Times New Roman" w:cs="Times New Roman"/>
              </w:rPr>
              <w:t>:</w:t>
            </w:r>
            <w:r w:rsidRPr="0096181B">
              <w:rPr>
                <w:rFonts w:ascii="Times New Roman" w:hAnsi="Times New Roman" w:cs="Times New Roman"/>
              </w:rPr>
              <w:t xml:space="preserve"> Take informed actions after identifying the assumptions that frame our thinking and actions, checking out the degree to which these assumptions are accurate and valid, and looking at our ideas and decisions (intellectual, organizational, and personal) from </w:t>
            </w:r>
            <w:proofErr w:type="spellStart"/>
            <w:r w:rsidRPr="0096181B">
              <w:rPr>
                <w:rFonts w:ascii="Times New Roman" w:hAnsi="Times New Roman" w:cs="Times New Roman"/>
              </w:rPr>
              <w:t>differentperspectives</w:t>
            </w:r>
            <w:proofErr w:type="spellEnd"/>
          </w:p>
        </w:tc>
      </w:tr>
      <w:tr w:rsidR="006D6259" w:rsidRPr="0096181B"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3360C4" w:rsidRDefault="006D6259" w:rsidP="005F1BDC">
            <w:pPr>
              <w:jc w:val="center"/>
              <w:rPr>
                <w:rFonts w:ascii="Times New Roman" w:hAnsi="Times New Roman" w:cs="Times New Roman"/>
                <w:color w:val="FF0066"/>
              </w:rPr>
            </w:pPr>
          </w:p>
        </w:tc>
        <w:tc>
          <w:tcPr>
            <w:tcW w:w="6103" w:type="dxa"/>
          </w:tcPr>
          <w:p w:rsidR="006D6259" w:rsidRPr="0096181B" w:rsidRDefault="006D6259" w:rsidP="005F1BDC">
            <w:pPr>
              <w:rPr>
                <w:rFonts w:ascii="Times New Roman" w:hAnsi="Times New Roman" w:cs="Times New Roman"/>
              </w:rPr>
            </w:pPr>
            <w:r w:rsidRPr="003360C4">
              <w:rPr>
                <w:rFonts w:ascii="Times New Roman" w:hAnsi="Times New Roman" w:cs="Times New Roman"/>
                <w:color w:val="FF0066"/>
              </w:rPr>
              <w:t>P</w:t>
            </w:r>
            <w:r>
              <w:rPr>
                <w:rFonts w:ascii="Times New Roman" w:hAnsi="Times New Roman" w:cs="Times New Roman"/>
                <w:color w:val="FF0066"/>
              </w:rPr>
              <w:t>O</w:t>
            </w:r>
            <w:r w:rsidRPr="003360C4">
              <w:rPr>
                <w:rFonts w:ascii="Times New Roman" w:hAnsi="Times New Roman" w:cs="Times New Roman"/>
                <w:color w:val="FF0066"/>
              </w:rPr>
              <w:t xml:space="preserve">2 Effective </w:t>
            </w:r>
            <w:proofErr w:type="spellStart"/>
            <w:r w:rsidRPr="003360C4">
              <w:rPr>
                <w:rFonts w:ascii="Times New Roman" w:hAnsi="Times New Roman" w:cs="Times New Roman"/>
                <w:color w:val="FF0066"/>
              </w:rPr>
              <w:t>Communication</w:t>
            </w:r>
            <w:proofErr w:type="gramStart"/>
            <w:r w:rsidRPr="003360C4">
              <w:rPr>
                <w:rFonts w:ascii="Times New Roman" w:hAnsi="Times New Roman" w:cs="Times New Roman"/>
                <w:color w:val="FF0066"/>
              </w:rPr>
              <w:t>:</w:t>
            </w:r>
            <w:r w:rsidRPr="0096181B">
              <w:rPr>
                <w:rFonts w:ascii="Times New Roman" w:hAnsi="Times New Roman" w:cs="Times New Roman"/>
              </w:rPr>
              <w:t>Speak</w:t>
            </w:r>
            <w:proofErr w:type="spellEnd"/>
            <w:proofErr w:type="gramEnd"/>
            <w:r w:rsidRPr="0096181B">
              <w:rPr>
                <w:rFonts w:ascii="Times New Roman" w:hAnsi="Times New Roman" w:cs="Times New Roman"/>
              </w:rPr>
              <w:t xml:space="preserve">, read, write and listen clearly in person and through electronic media in English and in one Indian language, and make meaning of the world by connecting people, ideas, books, media </w:t>
            </w:r>
            <w:proofErr w:type="spellStart"/>
            <w:r w:rsidRPr="0096181B">
              <w:rPr>
                <w:rFonts w:ascii="Times New Roman" w:hAnsi="Times New Roman" w:cs="Times New Roman"/>
              </w:rPr>
              <w:t>andtechnology</w:t>
            </w:r>
            <w:proofErr w:type="spellEnd"/>
            <w:r w:rsidRPr="0096181B">
              <w:rPr>
                <w:rFonts w:ascii="Times New Roman" w:hAnsi="Times New Roman" w:cs="Times New Roman"/>
              </w:rPr>
              <w:t>.</w:t>
            </w:r>
          </w:p>
        </w:tc>
      </w:tr>
      <w:tr w:rsidR="006D6259" w:rsidRPr="0096181B"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3360C4" w:rsidRDefault="006D6259" w:rsidP="005F1BDC">
            <w:pPr>
              <w:jc w:val="center"/>
              <w:rPr>
                <w:rFonts w:ascii="Times New Roman" w:hAnsi="Times New Roman" w:cs="Times New Roman"/>
                <w:color w:val="FF0066"/>
              </w:rPr>
            </w:pPr>
          </w:p>
        </w:tc>
        <w:tc>
          <w:tcPr>
            <w:tcW w:w="6103" w:type="dxa"/>
          </w:tcPr>
          <w:p w:rsidR="006D6259" w:rsidRPr="0096181B" w:rsidRDefault="006D6259" w:rsidP="005F1BDC">
            <w:pPr>
              <w:rPr>
                <w:rFonts w:ascii="Times New Roman" w:hAnsi="Times New Roman" w:cs="Times New Roman"/>
              </w:rPr>
            </w:pPr>
            <w:r w:rsidRPr="003360C4">
              <w:rPr>
                <w:rFonts w:ascii="Times New Roman" w:hAnsi="Times New Roman" w:cs="Times New Roman"/>
                <w:color w:val="FF0066"/>
              </w:rPr>
              <w:t xml:space="preserve">PO3 Social </w:t>
            </w:r>
            <w:proofErr w:type="spellStart"/>
            <w:r w:rsidRPr="003360C4">
              <w:rPr>
                <w:rFonts w:ascii="Times New Roman" w:hAnsi="Times New Roman" w:cs="Times New Roman"/>
                <w:color w:val="FF0066"/>
              </w:rPr>
              <w:t>Interaction</w:t>
            </w:r>
            <w:proofErr w:type="gramStart"/>
            <w:r w:rsidRPr="003360C4">
              <w:rPr>
                <w:rFonts w:ascii="Times New Roman" w:hAnsi="Times New Roman" w:cs="Times New Roman"/>
                <w:color w:val="FF0066"/>
              </w:rPr>
              <w:t>:</w:t>
            </w:r>
            <w:r w:rsidRPr="0096181B">
              <w:rPr>
                <w:rFonts w:ascii="Times New Roman" w:hAnsi="Times New Roman" w:cs="Times New Roman"/>
              </w:rPr>
              <w:t>Elicit</w:t>
            </w:r>
            <w:proofErr w:type="spellEnd"/>
            <w:proofErr w:type="gramEnd"/>
            <w:r w:rsidRPr="0096181B">
              <w:rPr>
                <w:rFonts w:ascii="Times New Roman" w:hAnsi="Times New Roman" w:cs="Times New Roman"/>
              </w:rPr>
              <w:t xml:space="preserve"> views of others, mediate disagreements and help reach conclusions in group settings.</w:t>
            </w:r>
          </w:p>
        </w:tc>
      </w:tr>
      <w:tr w:rsidR="006D6259" w:rsidRPr="0096181B"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3360C4" w:rsidRDefault="006D6259" w:rsidP="005F1BDC">
            <w:pPr>
              <w:jc w:val="center"/>
              <w:rPr>
                <w:rFonts w:ascii="Times New Roman" w:hAnsi="Times New Roman" w:cs="Times New Roman"/>
                <w:color w:val="FF0066"/>
              </w:rPr>
            </w:pPr>
          </w:p>
        </w:tc>
        <w:tc>
          <w:tcPr>
            <w:tcW w:w="6103" w:type="dxa"/>
          </w:tcPr>
          <w:p w:rsidR="006D6259" w:rsidRPr="0096181B" w:rsidRDefault="006D6259" w:rsidP="005F1BDC">
            <w:pPr>
              <w:jc w:val="both"/>
              <w:rPr>
                <w:rFonts w:ascii="Times New Roman" w:hAnsi="Times New Roman" w:cs="Times New Roman"/>
              </w:rPr>
            </w:pPr>
            <w:r w:rsidRPr="003360C4">
              <w:rPr>
                <w:rFonts w:ascii="Times New Roman" w:hAnsi="Times New Roman" w:cs="Times New Roman"/>
                <w:color w:val="FF0066"/>
              </w:rPr>
              <w:t xml:space="preserve">PO4 Effective </w:t>
            </w:r>
            <w:proofErr w:type="spellStart"/>
            <w:r w:rsidRPr="003360C4">
              <w:rPr>
                <w:rFonts w:ascii="Times New Roman" w:hAnsi="Times New Roman" w:cs="Times New Roman"/>
                <w:color w:val="FF0066"/>
              </w:rPr>
              <w:t>Citizenship</w:t>
            </w:r>
            <w:proofErr w:type="gramStart"/>
            <w:r w:rsidRPr="003360C4">
              <w:rPr>
                <w:rFonts w:ascii="Times New Roman" w:hAnsi="Times New Roman" w:cs="Times New Roman"/>
                <w:color w:val="FF0066"/>
              </w:rPr>
              <w:t>:</w:t>
            </w:r>
            <w:r w:rsidRPr="0096181B">
              <w:rPr>
                <w:rFonts w:ascii="Times New Roman" w:hAnsi="Times New Roman" w:cs="Times New Roman"/>
              </w:rPr>
              <w:t>Demonstrate</w:t>
            </w:r>
            <w:proofErr w:type="spellEnd"/>
            <w:proofErr w:type="gramEnd"/>
            <w:r w:rsidRPr="0096181B">
              <w:rPr>
                <w:rFonts w:ascii="Times New Roman" w:hAnsi="Times New Roman" w:cs="Times New Roman"/>
              </w:rPr>
              <w:t xml:space="preserve"> empathetic social concern and equity centred national development, and the ability to act with an informed awareness of issues and participate in </w:t>
            </w:r>
            <w:proofErr w:type="spellStart"/>
            <w:r w:rsidRPr="0096181B">
              <w:rPr>
                <w:rFonts w:ascii="Times New Roman" w:hAnsi="Times New Roman" w:cs="Times New Roman"/>
              </w:rPr>
              <w:t>civiclife</w:t>
            </w:r>
            <w:proofErr w:type="spellEnd"/>
            <w:r w:rsidRPr="0096181B">
              <w:rPr>
                <w:rFonts w:ascii="Times New Roman" w:hAnsi="Times New Roman" w:cs="Times New Roman"/>
              </w:rPr>
              <w:t xml:space="preserve"> through volunteering.</w:t>
            </w:r>
          </w:p>
        </w:tc>
      </w:tr>
      <w:tr w:rsidR="006D6259" w:rsidRPr="0096181B"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3360C4" w:rsidRDefault="006D6259" w:rsidP="005F1BDC">
            <w:pPr>
              <w:jc w:val="center"/>
              <w:rPr>
                <w:rFonts w:ascii="Times New Roman" w:hAnsi="Times New Roman" w:cs="Times New Roman"/>
                <w:color w:val="FF0066"/>
              </w:rPr>
            </w:pPr>
          </w:p>
        </w:tc>
        <w:tc>
          <w:tcPr>
            <w:tcW w:w="6103" w:type="dxa"/>
          </w:tcPr>
          <w:p w:rsidR="006D6259" w:rsidRPr="0096181B" w:rsidRDefault="006D6259" w:rsidP="005F1BDC">
            <w:pPr>
              <w:rPr>
                <w:rFonts w:ascii="Times New Roman" w:hAnsi="Times New Roman" w:cs="Times New Roman"/>
                <w:color w:val="C00000"/>
              </w:rPr>
            </w:pPr>
            <w:r w:rsidRPr="003360C4">
              <w:rPr>
                <w:rFonts w:ascii="Times New Roman" w:hAnsi="Times New Roman" w:cs="Times New Roman"/>
                <w:color w:val="FF0066"/>
              </w:rPr>
              <w:t>PO5 Ethics:</w:t>
            </w:r>
            <w:r w:rsidRPr="0096181B">
              <w:rPr>
                <w:rFonts w:ascii="Times New Roman" w:hAnsi="Times New Roman" w:cs="Times New Roman"/>
              </w:rPr>
              <w:t xml:space="preserve"> Recognize different value systems including your own, understand the moral dimensions of your decisions, and accept responsibility for them.</w:t>
            </w:r>
          </w:p>
        </w:tc>
      </w:tr>
      <w:tr w:rsidR="006D6259" w:rsidRPr="00A838B8"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3360C4" w:rsidRDefault="006D6259" w:rsidP="005F1BDC">
            <w:pPr>
              <w:jc w:val="center"/>
              <w:rPr>
                <w:rFonts w:ascii="Times New Roman" w:hAnsi="Times New Roman" w:cs="Times New Roman"/>
                <w:color w:val="FF0066"/>
              </w:rPr>
            </w:pPr>
          </w:p>
        </w:tc>
        <w:tc>
          <w:tcPr>
            <w:tcW w:w="6103" w:type="dxa"/>
          </w:tcPr>
          <w:p w:rsidR="006D6259" w:rsidRPr="00A838B8" w:rsidRDefault="006D6259" w:rsidP="005F1BDC">
            <w:pPr>
              <w:jc w:val="both"/>
              <w:rPr>
                <w:rFonts w:ascii="Times New Roman" w:hAnsi="Times New Roman" w:cs="Times New Roman"/>
              </w:rPr>
            </w:pPr>
            <w:r w:rsidRPr="003360C4">
              <w:rPr>
                <w:rFonts w:ascii="Times New Roman" w:hAnsi="Times New Roman" w:cs="Times New Roman"/>
                <w:color w:val="FF0066"/>
              </w:rPr>
              <w:t>PO6 Environment and Sustainability:</w:t>
            </w:r>
            <w:r w:rsidRPr="0096181B">
              <w:rPr>
                <w:rFonts w:ascii="Times New Roman" w:hAnsi="Times New Roman" w:cs="Times New Roman"/>
              </w:rPr>
              <w:t xml:space="preserve"> Understand the issues of environmental contexts </w:t>
            </w:r>
            <w:proofErr w:type="spellStart"/>
            <w:r w:rsidRPr="0096181B">
              <w:rPr>
                <w:rFonts w:ascii="Times New Roman" w:hAnsi="Times New Roman" w:cs="Times New Roman"/>
              </w:rPr>
              <w:t>andsustainable</w:t>
            </w:r>
            <w:proofErr w:type="spellEnd"/>
            <w:r w:rsidRPr="0096181B">
              <w:rPr>
                <w:rFonts w:ascii="Times New Roman" w:hAnsi="Times New Roman" w:cs="Times New Roman"/>
              </w:rPr>
              <w:t xml:space="preserve"> development.</w:t>
            </w:r>
          </w:p>
        </w:tc>
      </w:tr>
      <w:tr w:rsidR="006D6259" w:rsidRPr="0096181B"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3360C4" w:rsidRDefault="006D6259" w:rsidP="005F1BDC">
            <w:pPr>
              <w:jc w:val="center"/>
              <w:rPr>
                <w:rFonts w:ascii="Times New Roman" w:hAnsi="Times New Roman" w:cs="Times New Roman"/>
                <w:color w:val="FF0066"/>
              </w:rPr>
            </w:pPr>
          </w:p>
        </w:tc>
        <w:tc>
          <w:tcPr>
            <w:tcW w:w="6103" w:type="dxa"/>
          </w:tcPr>
          <w:p w:rsidR="006D6259" w:rsidRPr="0096181B" w:rsidRDefault="006D6259" w:rsidP="005F1BDC">
            <w:pPr>
              <w:rPr>
                <w:rFonts w:ascii="Times New Roman" w:hAnsi="Times New Roman" w:cs="Times New Roman"/>
                <w:color w:val="C00000"/>
              </w:rPr>
            </w:pPr>
            <w:r w:rsidRPr="003360C4">
              <w:rPr>
                <w:rFonts w:ascii="Times New Roman" w:hAnsi="Times New Roman" w:cs="Times New Roman"/>
                <w:color w:val="FF0066"/>
              </w:rPr>
              <w:t xml:space="preserve">PO7 Self-directed and Life-long </w:t>
            </w:r>
            <w:proofErr w:type="spellStart"/>
            <w:r w:rsidRPr="003360C4">
              <w:rPr>
                <w:rFonts w:ascii="Times New Roman" w:hAnsi="Times New Roman" w:cs="Times New Roman"/>
                <w:color w:val="FF0066"/>
              </w:rPr>
              <w:t>Learning:</w:t>
            </w:r>
            <w:r w:rsidRPr="0096181B">
              <w:rPr>
                <w:rFonts w:ascii="Times New Roman" w:hAnsi="Times New Roman" w:cs="Times New Roman"/>
              </w:rPr>
              <w:t>Acquire</w:t>
            </w:r>
            <w:proofErr w:type="spellEnd"/>
            <w:r w:rsidRPr="0096181B">
              <w:rPr>
                <w:rFonts w:ascii="Times New Roman" w:hAnsi="Times New Roman" w:cs="Times New Roman"/>
              </w:rPr>
              <w:t xml:space="preserve"> the ability to engage in independent and life-long learning in the broadest context socio-technological changes</w:t>
            </w:r>
          </w:p>
        </w:tc>
      </w:tr>
      <w:tr w:rsidR="006D6259" w:rsidTr="005F1BDC">
        <w:tc>
          <w:tcPr>
            <w:tcW w:w="1333" w:type="dxa"/>
            <w:vMerge w:val="restart"/>
            <w:vAlign w:val="center"/>
          </w:tcPr>
          <w:p w:rsidR="006D6259" w:rsidRPr="00746C57" w:rsidRDefault="006D6259" w:rsidP="005F1BDC">
            <w:pPr>
              <w:jc w:val="center"/>
              <w:rPr>
                <w:rFonts w:ascii="Times New Roman" w:hAnsi="Times New Roman" w:cs="Times New Roman"/>
              </w:rPr>
            </w:pPr>
            <w:r>
              <w:rPr>
                <w:rFonts w:ascii="Times New Roman" w:hAnsi="Times New Roman" w:cs="Times New Roman"/>
              </w:rPr>
              <w:t>B.SC-1,2</w:t>
            </w:r>
          </w:p>
        </w:tc>
        <w:tc>
          <w:tcPr>
            <w:tcW w:w="2062" w:type="dxa"/>
            <w:vMerge w:val="restart"/>
            <w:vAlign w:val="center"/>
          </w:tcPr>
          <w:p w:rsidR="006D6259" w:rsidRPr="00FD7552" w:rsidRDefault="006D6259" w:rsidP="005F1BDC">
            <w:pPr>
              <w:jc w:val="center"/>
              <w:rPr>
                <w:rFonts w:ascii="Times New Roman" w:hAnsi="Times New Roman" w:cs="Times New Roman"/>
                <w:color w:val="FF0066"/>
                <w:sz w:val="20"/>
                <w:szCs w:val="20"/>
              </w:rPr>
            </w:pPr>
            <w:r>
              <w:rPr>
                <w:rFonts w:ascii="Times New Roman" w:hAnsi="Times New Roman" w:cs="Times New Roman"/>
              </w:rPr>
              <w:t>English</w:t>
            </w: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 xml:space="preserve">PO1: </w:t>
            </w:r>
            <w:r w:rsidRPr="00FD7552">
              <w:rPr>
                <w:rFonts w:ascii="Times New Roman" w:hAnsi="Times New Roman" w:cs="Times New Roman"/>
                <w:sz w:val="20"/>
                <w:szCs w:val="20"/>
              </w:rPr>
              <w:t>To facilitate the learners in acquiring listening and speaking competence</w:t>
            </w:r>
            <w:r>
              <w:rPr>
                <w:rFonts w:ascii="Times New Roman" w:hAnsi="Times New Roman" w:cs="Times New Roman"/>
                <w:sz w:val="20"/>
                <w:szCs w:val="20"/>
              </w:rPr>
              <w:t>.</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FD7552" w:rsidRDefault="006D6259" w:rsidP="005F1BDC">
            <w:pPr>
              <w:jc w:val="center"/>
              <w:rPr>
                <w:rFonts w:ascii="Times New Roman" w:hAnsi="Times New Roman" w:cs="Times New Roman"/>
                <w:color w:val="FF0066"/>
                <w:sz w:val="20"/>
                <w:szCs w:val="20"/>
              </w:rPr>
            </w:pP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PO</w:t>
            </w:r>
            <w:r>
              <w:rPr>
                <w:rFonts w:ascii="Times New Roman" w:hAnsi="Times New Roman" w:cs="Times New Roman"/>
                <w:color w:val="FF0066"/>
                <w:sz w:val="20"/>
                <w:szCs w:val="20"/>
              </w:rPr>
              <w:t>2</w:t>
            </w:r>
            <w:proofErr w:type="gramStart"/>
            <w:r w:rsidRPr="00FD7552">
              <w:rPr>
                <w:rFonts w:ascii="Times New Roman" w:hAnsi="Times New Roman" w:cs="Times New Roman"/>
                <w:color w:val="FF0066"/>
                <w:sz w:val="20"/>
                <w:szCs w:val="20"/>
              </w:rPr>
              <w:t>:</w:t>
            </w:r>
            <w:r w:rsidRPr="00FD7552">
              <w:rPr>
                <w:rFonts w:ascii="Times New Roman" w:hAnsi="Times New Roman" w:cs="Times New Roman"/>
                <w:sz w:val="20"/>
                <w:szCs w:val="20"/>
              </w:rPr>
              <w:t>To</w:t>
            </w:r>
            <w:proofErr w:type="gramEnd"/>
            <w:r w:rsidRPr="00FD7552">
              <w:rPr>
                <w:rFonts w:ascii="Times New Roman" w:hAnsi="Times New Roman" w:cs="Times New Roman"/>
                <w:sz w:val="20"/>
                <w:szCs w:val="20"/>
              </w:rPr>
              <w:t xml:space="preserve"> assist the learners in independent language comprehension and production</w:t>
            </w:r>
            <w:r>
              <w:rPr>
                <w:rFonts w:ascii="Times New Roman" w:hAnsi="Times New Roman" w:cs="Times New Roman"/>
                <w:sz w:val="20"/>
                <w:szCs w:val="20"/>
              </w:rPr>
              <w:t>.</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FD7552" w:rsidRDefault="006D6259" w:rsidP="005F1BDC">
            <w:pPr>
              <w:jc w:val="center"/>
              <w:rPr>
                <w:rFonts w:ascii="Times New Roman" w:hAnsi="Times New Roman" w:cs="Times New Roman"/>
                <w:color w:val="FF0066"/>
                <w:sz w:val="20"/>
                <w:szCs w:val="20"/>
              </w:rPr>
            </w:pP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 xml:space="preserve">PO3: </w:t>
            </w:r>
            <w:r w:rsidRPr="00FD7552">
              <w:rPr>
                <w:rFonts w:ascii="Times New Roman" w:hAnsi="Times New Roman" w:cs="Times New Roman"/>
                <w:sz w:val="20"/>
                <w:szCs w:val="20"/>
              </w:rPr>
              <w:t>To make the students aware about the different communicative functions of English.</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FD7552" w:rsidRDefault="006D6259" w:rsidP="005F1BDC">
            <w:pPr>
              <w:jc w:val="center"/>
              <w:rPr>
                <w:rFonts w:ascii="Times New Roman" w:hAnsi="Times New Roman" w:cs="Times New Roman"/>
                <w:color w:val="FF0066"/>
                <w:sz w:val="20"/>
                <w:szCs w:val="20"/>
              </w:rPr>
            </w:pP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 xml:space="preserve">PO4: </w:t>
            </w:r>
            <w:r w:rsidRPr="00FD7552">
              <w:rPr>
                <w:rFonts w:ascii="Times New Roman" w:hAnsi="Times New Roman" w:cs="Times New Roman"/>
                <w:sz w:val="20"/>
                <w:szCs w:val="20"/>
              </w:rPr>
              <w:t xml:space="preserve">To improve skills and proficiency for being employed as teachers, </w:t>
            </w:r>
            <w:r w:rsidRPr="00FD7552">
              <w:rPr>
                <w:rFonts w:ascii="Times New Roman" w:hAnsi="Times New Roman" w:cs="Times New Roman"/>
                <w:sz w:val="20"/>
                <w:szCs w:val="20"/>
              </w:rPr>
              <w:lastRenderedPageBreak/>
              <w:t>state government employees, civil aviation, engineering and medico-related industry, defence, commerce and taxation sector.</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FD7552" w:rsidRDefault="006D6259" w:rsidP="005F1BDC">
            <w:pPr>
              <w:jc w:val="center"/>
              <w:rPr>
                <w:rFonts w:ascii="Times New Roman" w:hAnsi="Times New Roman" w:cs="Times New Roman"/>
                <w:color w:val="FF0066"/>
                <w:sz w:val="20"/>
                <w:szCs w:val="20"/>
              </w:rPr>
            </w:pP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PO5:</w:t>
            </w:r>
            <w:r w:rsidRPr="00FD7552">
              <w:rPr>
                <w:rFonts w:ascii="Times New Roman" w:hAnsi="Times New Roman" w:cs="Times New Roman"/>
                <w:sz w:val="20"/>
                <w:szCs w:val="20"/>
              </w:rPr>
              <w:t>To be able to speak, write, read and listen flawlessly in person and through the electronic mode in English</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FD7552" w:rsidRDefault="006D6259" w:rsidP="005F1BDC">
            <w:pPr>
              <w:jc w:val="center"/>
              <w:rPr>
                <w:rFonts w:ascii="Times New Roman" w:hAnsi="Times New Roman" w:cs="Times New Roman"/>
                <w:color w:val="FF0066"/>
                <w:sz w:val="20"/>
                <w:szCs w:val="20"/>
              </w:rPr>
            </w:pP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PO6</w:t>
            </w:r>
            <w:proofErr w:type="gramStart"/>
            <w:r w:rsidRPr="00FD7552">
              <w:rPr>
                <w:rFonts w:ascii="Times New Roman" w:hAnsi="Times New Roman" w:cs="Times New Roman"/>
                <w:color w:val="FF0066"/>
                <w:sz w:val="20"/>
                <w:szCs w:val="20"/>
              </w:rPr>
              <w:t>:</w:t>
            </w:r>
            <w:r w:rsidRPr="00FD7552">
              <w:rPr>
                <w:rFonts w:ascii="Times New Roman" w:hAnsi="Times New Roman" w:cs="Times New Roman"/>
                <w:sz w:val="20"/>
                <w:szCs w:val="20"/>
              </w:rPr>
              <w:t>To</w:t>
            </w:r>
            <w:proofErr w:type="gramEnd"/>
            <w:r w:rsidRPr="00FD7552">
              <w:rPr>
                <w:rFonts w:ascii="Times New Roman" w:hAnsi="Times New Roman" w:cs="Times New Roman"/>
                <w:sz w:val="20"/>
                <w:szCs w:val="20"/>
              </w:rPr>
              <w:t xml:space="preserve"> understand views of others, mediate contradictory views/ disagreements, reaching conclusion in groups / group discussions.</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FD7552" w:rsidRDefault="006D6259" w:rsidP="005F1BDC">
            <w:pPr>
              <w:jc w:val="center"/>
              <w:rPr>
                <w:rFonts w:ascii="Times New Roman" w:hAnsi="Times New Roman" w:cs="Times New Roman"/>
                <w:color w:val="FF0066"/>
                <w:sz w:val="20"/>
                <w:szCs w:val="20"/>
              </w:rPr>
            </w:pPr>
          </w:p>
        </w:tc>
        <w:tc>
          <w:tcPr>
            <w:tcW w:w="6103" w:type="dxa"/>
          </w:tcPr>
          <w:p w:rsidR="006D6259" w:rsidRDefault="006D6259" w:rsidP="005F1BDC">
            <w:pPr>
              <w:rPr>
                <w:rFonts w:ascii="Times New Roman" w:hAnsi="Times New Roman" w:cs="Times New Roman"/>
                <w:color w:val="C00000"/>
                <w:sz w:val="20"/>
                <w:szCs w:val="20"/>
              </w:rPr>
            </w:pPr>
            <w:r w:rsidRPr="00FD7552">
              <w:rPr>
                <w:rFonts w:ascii="Times New Roman" w:hAnsi="Times New Roman" w:cs="Times New Roman"/>
                <w:color w:val="FF0066"/>
                <w:sz w:val="20"/>
                <w:szCs w:val="20"/>
              </w:rPr>
              <w:t>PO7</w:t>
            </w:r>
            <w:proofErr w:type="gramStart"/>
            <w:r w:rsidRPr="00FD7552">
              <w:rPr>
                <w:rFonts w:ascii="Times New Roman" w:hAnsi="Times New Roman" w:cs="Times New Roman"/>
                <w:color w:val="FF0066"/>
                <w:sz w:val="20"/>
                <w:szCs w:val="20"/>
              </w:rPr>
              <w:t>:</w:t>
            </w:r>
            <w:r w:rsidRPr="00FD7552">
              <w:rPr>
                <w:rFonts w:ascii="Times New Roman" w:hAnsi="Times New Roman" w:cs="Times New Roman"/>
                <w:sz w:val="20"/>
                <w:szCs w:val="20"/>
              </w:rPr>
              <w:t>To</w:t>
            </w:r>
            <w:proofErr w:type="gramEnd"/>
            <w:r w:rsidRPr="00FD7552">
              <w:rPr>
                <w:rFonts w:ascii="Times New Roman" w:hAnsi="Times New Roman" w:cs="Times New Roman"/>
                <w:sz w:val="20"/>
                <w:szCs w:val="20"/>
              </w:rPr>
              <w:t xml:space="preserve"> understand and use basic skills of the English language for applying it in the job assigned / employment accepted / profession undertaken</w:t>
            </w:r>
            <w:r>
              <w:rPr>
                <w:rFonts w:ascii="Times New Roman" w:hAnsi="Times New Roman" w:cs="Times New Roman"/>
                <w:sz w:val="20"/>
                <w:szCs w:val="20"/>
              </w:rPr>
              <w:t>.</w:t>
            </w:r>
          </w:p>
        </w:tc>
      </w:tr>
      <w:tr w:rsidR="006D6259" w:rsidRPr="00B27956" w:rsidTr="005F1BDC">
        <w:tc>
          <w:tcPr>
            <w:tcW w:w="1333" w:type="dxa"/>
            <w:vMerge w:val="restart"/>
            <w:vAlign w:val="center"/>
          </w:tcPr>
          <w:p w:rsidR="006D6259" w:rsidRPr="00746C57" w:rsidRDefault="006D6259" w:rsidP="005F1BDC">
            <w:pPr>
              <w:jc w:val="center"/>
              <w:rPr>
                <w:rFonts w:ascii="Times New Roman" w:hAnsi="Times New Roman" w:cs="Times New Roman"/>
              </w:rPr>
            </w:pPr>
            <w:r>
              <w:rPr>
                <w:rFonts w:ascii="Times New Roman" w:hAnsi="Times New Roman" w:cs="Times New Roman"/>
              </w:rPr>
              <w:t>B.SC-1,2</w:t>
            </w:r>
          </w:p>
        </w:tc>
        <w:tc>
          <w:tcPr>
            <w:tcW w:w="2062" w:type="dxa"/>
            <w:vMerge w:val="restart"/>
            <w:vAlign w:val="center"/>
          </w:tcPr>
          <w:p w:rsidR="006D6259" w:rsidRPr="00B27956" w:rsidRDefault="006D6259" w:rsidP="005F1BDC">
            <w:pPr>
              <w:jc w:val="center"/>
              <w:rPr>
                <w:rFonts w:ascii="Times New Roman" w:hAnsi="Times New Roman" w:cs="Times New Roman"/>
                <w:color w:val="FF0066"/>
                <w:szCs w:val="20"/>
                <w:lang w:bidi="mr-IN"/>
              </w:rPr>
            </w:pPr>
            <w:r>
              <w:rPr>
                <w:rFonts w:ascii="Times New Roman" w:hAnsi="Times New Roman" w:cs="Times New Roman"/>
              </w:rPr>
              <w:t>Marathi</w:t>
            </w:r>
          </w:p>
        </w:tc>
        <w:tc>
          <w:tcPr>
            <w:tcW w:w="6103" w:type="dxa"/>
          </w:tcPr>
          <w:p w:rsidR="006D6259" w:rsidRPr="00B27956" w:rsidRDefault="006D6259" w:rsidP="005F1BDC">
            <w:pPr>
              <w:rPr>
                <w:rFonts w:ascii="Kokila" w:hAnsi="Kokila" w:cs="Kokila"/>
                <w:color w:val="C00000"/>
                <w:sz w:val="20"/>
                <w:szCs w:val="18"/>
                <w:cs/>
                <w:lang w:val="en-US" w:bidi="mr-IN"/>
              </w:rPr>
            </w:pPr>
            <w:r w:rsidRPr="00B27956">
              <w:rPr>
                <w:rFonts w:ascii="Times New Roman" w:hAnsi="Times New Roman" w:cs="Times New Roman"/>
                <w:color w:val="FF0066"/>
                <w:szCs w:val="20"/>
                <w:lang w:bidi="mr-IN"/>
              </w:rPr>
              <w:t>PO1</w:t>
            </w:r>
            <w:r>
              <w:rPr>
                <w:rFonts w:ascii="Times New Roman" w:hAnsi="Times New Roman" w:cs="Times New Roman"/>
                <w:color w:val="FF0066"/>
                <w:szCs w:val="20"/>
                <w:lang w:bidi="mr-IN"/>
              </w:rPr>
              <w:t xml:space="preserve">: </w:t>
            </w:r>
            <w:r w:rsidRPr="00B27956">
              <w:rPr>
                <w:rFonts w:ascii="Kokila" w:hAnsi="Kokila" w:cs="Kokila"/>
                <w:sz w:val="28"/>
                <w:szCs w:val="24"/>
                <w:cs/>
                <w:lang w:val="en-US" w:bidi="mr-IN"/>
              </w:rPr>
              <w:t>भाषेचा आकलनाबरोबरच विद्यार्थ्यांमध्ये समाजातील उच्चकोटीची मानवी मूल्य वृद्धिंगत व्हावी</w:t>
            </w:r>
            <w:r>
              <w:rPr>
                <w:rFonts w:ascii="Kokila" w:hAnsi="Kokila" w:cs="Kokila" w:hint="cs"/>
                <w:sz w:val="28"/>
                <w:szCs w:val="24"/>
                <w:cs/>
                <w:lang w:val="en-US" w:bidi="mr-IN"/>
              </w:rPr>
              <w:t>,</w:t>
            </w:r>
            <w:r w:rsidRPr="00B27956">
              <w:rPr>
                <w:rFonts w:ascii="Kokila" w:hAnsi="Kokila" w:cs="Kokila"/>
                <w:sz w:val="28"/>
                <w:szCs w:val="24"/>
                <w:cs/>
                <w:lang w:val="en-US" w:bidi="mr-IN"/>
              </w:rPr>
              <w:t xml:space="preserve"> राष्ट्रीय एकात्मता</w:t>
            </w:r>
            <w:r>
              <w:rPr>
                <w:rFonts w:ascii="Kokila" w:hAnsi="Kokila" w:cs="Kokila" w:hint="cs"/>
                <w:sz w:val="28"/>
                <w:szCs w:val="24"/>
                <w:cs/>
                <w:lang w:val="en-US" w:bidi="mr-IN"/>
              </w:rPr>
              <w:t>,</w:t>
            </w:r>
            <w:r w:rsidRPr="00B27956">
              <w:rPr>
                <w:rFonts w:ascii="Kokila" w:hAnsi="Kokila" w:cs="Kokila"/>
                <w:sz w:val="28"/>
                <w:szCs w:val="24"/>
                <w:cs/>
                <w:lang w:val="en-US" w:bidi="mr-IN"/>
              </w:rPr>
              <w:t xml:space="preserve"> सामाजिक बांधिलकी</w:t>
            </w:r>
            <w:proofErr w:type="gramStart"/>
            <w:r>
              <w:rPr>
                <w:rFonts w:ascii="Kokila" w:hAnsi="Kokila" w:cs="Kokila" w:hint="cs"/>
                <w:sz w:val="28"/>
                <w:szCs w:val="24"/>
                <w:cs/>
                <w:lang w:val="en-US" w:bidi="mr-IN"/>
              </w:rPr>
              <w:t>,म</w:t>
            </w:r>
            <w:proofErr w:type="gramEnd"/>
            <w:r>
              <w:rPr>
                <w:rFonts w:ascii="Kokila" w:hAnsi="Kokila" w:cs="Kokila" w:hint="cs"/>
                <w:sz w:val="28"/>
                <w:szCs w:val="24"/>
                <w:cs/>
                <w:lang w:val="en-US" w:bidi="mr-IN"/>
              </w:rPr>
              <w:t xml:space="preserve">ानुषता, </w:t>
            </w:r>
            <w:r w:rsidRPr="00B27956">
              <w:rPr>
                <w:rFonts w:ascii="Kokila" w:hAnsi="Kokila" w:cs="Kokila"/>
                <w:sz w:val="28"/>
                <w:szCs w:val="24"/>
                <w:cs/>
                <w:lang w:val="en-US" w:bidi="mr-IN"/>
              </w:rPr>
              <w:t>राष्ट्रप्रेम</w:t>
            </w:r>
            <w:r>
              <w:rPr>
                <w:rFonts w:ascii="Kokila" w:hAnsi="Kokila" w:cs="Kokila" w:hint="cs"/>
                <w:sz w:val="28"/>
                <w:szCs w:val="24"/>
                <w:cs/>
                <w:lang w:val="en-US" w:bidi="mr-IN"/>
              </w:rPr>
              <w:t>,</w:t>
            </w:r>
            <w:r w:rsidRPr="00B27956">
              <w:rPr>
                <w:rFonts w:ascii="Kokila" w:hAnsi="Kokila" w:cs="Kokila"/>
                <w:sz w:val="28"/>
                <w:szCs w:val="24"/>
                <w:cs/>
                <w:lang w:val="en-US" w:bidi="mr-IN"/>
              </w:rPr>
              <w:t>राष्ट्रभक्ती</w:t>
            </w:r>
            <w:r>
              <w:rPr>
                <w:rFonts w:ascii="Kokila" w:hAnsi="Kokila" w:cs="Kokila" w:hint="cs"/>
                <w:sz w:val="28"/>
                <w:szCs w:val="24"/>
                <w:cs/>
                <w:lang w:val="en-US" w:bidi="mr-IN"/>
              </w:rPr>
              <w:t xml:space="preserve">, </w:t>
            </w:r>
            <w:r w:rsidRPr="00B27956">
              <w:rPr>
                <w:rFonts w:ascii="Kokila" w:hAnsi="Kokila" w:cs="Kokila"/>
                <w:sz w:val="28"/>
                <w:szCs w:val="24"/>
                <w:cs/>
                <w:lang w:val="en-US" w:bidi="mr-IN"/>
              </w:rPr>
              <w:t>वैज्ञानिक दृष्टिकोन</w:t>
            </w:r>
            <w:r>
              <w:rPr>
                <w:rFonts w:ascii="Kokila" w:hAnsi="Kokila" w:cs="Kokila" w:hint="cs"/>
                <w:sz w:val="28"/>
                <w:szCs w:val="24"/>
                <w:cs/>
                <w:lang w:val="en-US" w:bidi="mr-IN"/>
              </w:rPr>
              <w:t>,</w:t>
            </w:r>
            <w:r w:rsidRPr="00B27956">
              <w:rPr>
                <w:rFonts w:ascii="Kokila" w:hAnsi="Kokila" w:cs="Kokila"/>
                <w:sz w:val="28"/>
                <w:szCs w:val="24"/>
                <w:cs/>
                <w:lang w:val="en-US" w:bidi="mr-IN"/>
              </w:rPr>
              <w:t xml:space="preserve"> पर्यावरण</w:t>
            </w:r>
            <w:r>
              <w:rPr>
                <w:rFonts w:ascii="Kokila" w:hAnsi="Kokila" w:cs="Kokila" w:hint="cs"/>
                <w:sz w:val="28"/>
                <w:szCs w:val="24"/>
                <w:cs/>
                <w:lang w:val="en-US" w:bidi="mr-IN"/>
              </w:rPr>
              <w:t>-</w:t>
            </w:r>
            <w:r w:rsidRPr="00B27956">
              <w:rPr>
                <w:rFonts w:ascii="Kokila" w:hAnsi="Kokila" w:cs="Kokila"/>
                <w:sz w:val="28"/>
                <w:szCs w:val="24"/>
                <w:cs/>
                <w:lang w:val="en-US" w:bidi="mr-IN"/>
              </w:rPr>
              <w:t xml:space="preserve"> संरक्षण संवर्धन</w:t>
            </w:r>
            <w:r>
              <w:rPr>
                <w:rFonts w:ascii="Kokila" w:hAnsi="Kokila" w:cs="Kokila" w:hint="cs"/>
                <w:sz w:val="28"/>
                <w:szCs w:val="24"/>
                <w:cs/>
                <w:lang w:val="en-US" w:bidi="mr-IN"/>
              </w:rPr>
              <w:t xml:space="preserve"> भूतदया </w:t>
            </w:r>
            <w:r w:rsidRPr="00B27956">
              <w:rPr>
                <w:rFonts w:ascii="Kokila" w:hAnsi="Kokila" w:cs="Kokila" w:hint="cs"/>
                <w:sz w:val="28"/>
                <w:szCs w:val="24"/>
                <w:cs/>
                <w:lang w:val="en-US" w:bidi="mr-IN"/>
              </w:rPr>
              <w:t>इत्यादींची</w:t>
            </w:r>
            <w:r w:rsidRPr="00B27956">
              <w:rPr>
                <w:rFonts w:ascii="Kokila" w:hAnsi="Kokila" w:cs="Kokila"/>
                <w:sz w:val="28"/>
                <w:szCs w:val="24"/>
                <w:cs/>
                <w:lang w:val="en-US" w:bidi="mr-IN"/>
              </w:rPr>
              <w:t xml:space="preserve"> पेरणी</w:t>
            </w:r>
            <w:r>
              <w:rPr>
                <w:rFonts w:ascii="Kokila" w:hAnsi="Kokila" w:cs="Kokila" w:hint="cs"/>
                <w:sz w:val="28"/>
                <w:szCs w:val="24"/>
                <w:cs/>
                <w:lang w:val="en-US" w:bidi="mr-IN"/>
              </w:rPr>
              <w:t xml:space="preserve"> व्हावी</w:t>
            </w:r>
            <w:r>
              <w:rPr>
                <w:rFonts w:ascii="Kokila" w:hAnsi="Kokila" w:cs="Kokila"/>
                <w:sz w:val="28"/>
                <w:szCs w:val="24"/>
                <w:lang w:val="en-US" w:bidi="mr-IN"/>
              </w:rPr>
              <w:t xml:space="preserve">. </w:t>
            </w:r>
          </w:p>
        </w:tc>
      </w:tr>
      <w:tr w:rsidR="006D6259" w:rsidTr="005F1BDC">
        <w:tc>
          <w:tcPr>
            <w:tcW w:w="1333" w:type="dxa"/>
            <w:vMerge/>
            <w:vAlign w:val="center"/>
          </w:tcPr>
          <w:p w:rsidR="006D6259" w:rsidRPr="00746C57" w:rsidRDefault="006D6259" w:rsidP="005F1BDC">
            <w:pPr>
              <w:jc w:val="center"/>
              <w:rPr>
                <w:rFonts w:ascii="Times New Roman" w:hAnsi="Times New Roman" w:cs="Times New Roman"/>
              </w:rPr>
            </w:pPr>
          </w:p>
        </w:tc>
        <w:tc>
          <w:tcPr>
            <w:tcW w:w="2062" w:type="dxa"/>
            <w:vMerge/>
            <w:vAlign w:val="center"/>
          </w:tcPr>
          <w:p w:rsidR="006D6259" w:rsidRPr="00B27956" w:rsidRDefault="006D6259" w:rsidP="005F1BDC">
            <w:pPr>
              <w:jc w:val="center"/>
              <w:rPr>
                <w:rFonts w:ascii="Times New Roman" w:hAnsi="Times New Roman" w:cs="Times New Roman"/>
                <w:color w:val="FF0066"/>
                <w:szCs w:val="20"/>
                <w:lang w:bidi="mr-IN"/>
              </w:rPr>
            </w:pPr>
          </w:p>
        </w:tc>
        <w:tc>
          <w:tcPr>
            <w:tcW w:w="6103" w:type="dxa"/>
          </w:tcPr>
          <w:p w:rsidR="006D6259" w:rsidRDefault="006D6259" w:rsidP="005F1BDC">
            <w:pPr>
              <w:rPr>
                <w:rFonts w:ascii="Times New Roman" w:hAnsi="Times New Roman" w:cs="Times New Roman"/>
                <w:color w:val="C00000"/>
                <w:sz w:val="20"/>
                <w:szCs w:val="20"/>
              </w:rPr>
            </w:pPr>
            <w:r w:rsidRPr="00B27956">
              <w:rPr>
                <w:rFonts w:ascii="Times New Roman" w:hAnsi="Times New Roman" w:cs="Times New Roman"/>
                <w:color w:val="FF0066"/>
                <w:szCs w:val="20"/>
                <w:lang w:bidi="mr-IN"/>
              </w:rPr>
              <w:t>PO</w:t>
            </w:r>
            <w:r>
              <w:rPr>
                <w:rFonts w:ascii="Times New Roman" w:hAnsi="Times New Roman" w:cs="Times New Roman"/>
                <w:color w:val="FF0066"/>
                <w:szCs w:val="20"/>
                <w:lang w:bidi="mr-IN"/>
              </w:rPr>
              <w:t xml:space="preserve">2: </w:t>
            </w:r>
            <w:r w:rsidRPr="00B27956">
              <w:rPr>
                <w:rFonts w:ascii="Kokila" w:hAnsi="Kokila" w:cs="Kokila"/>
                <w:sz w:val="28"/>
                <w:szCs w:val="24"/>
                <w:cs/>
                <w:lang w:val="en-US" w:bidi="mr-IN"/>
              </w:rPr>
              <w:t>विद्यार्थ्यांची मातृभाषा आणि वाङ्मयविषयक अभिरुची वाढीला लागावी</w:t>
            </w:r>
            <w:r>
              <w:rPr>
                <w:rFonts w:ascii="Kokila" w:hAnsi="Kokila" w:cs="Kokila" w:hint="cs"/>
                <w:sz w:val="28"/>
                <w:szCs w:val="24"/>
                <w:cs/>
                <w:lang w:val="en-US" w:bidi="mr-IN"/>
              </w:rPr>
              <w:t>,</w:t>
            </w:r>
            <w:r w:rsidRPr="00B27956">
              <w:rPr>
                <w:rFonts w:ascii="Kokila" w:hAnsi="Kokila" w:cs="Kokila"/>
                <w:sz w:val="28"/>
                <w:szCs w:val="24"/>
                <w:cs/>
                <w:lang w:val="en-US" w:bidi="mr-IN"/>
              </w:rPr>
              <w:t xml:space="preserve"> त्यांना दर्जेदार व व्यावसायभिमुख शिक्षण मिळावे याकरिता केंद्र सरकारच्या मानवसंसाधन आयोगाने </w:t>
            </w:r>
            <w:r>
              <w:rPr>
                <w:rFonts w:ascii="Kokila" w:hAnsi="Kokila" w:cs="Kokila" w:hint="cs"/>
                <w:sz w:val="28"/>
                <w:szCs w:val="24"/>
                <w:cs/>
                <w:lang w:val="en-US" w:bidi="mr-IN"/>
              </w:rPr>
              <w:t>जी</w:t>
            </w:r>
            <w:r w:rsidRPr="00B27956">
              <w:rPr>
                <w:rFonts w:ascii="Kokila" w:hAnsi="Kokila" w:cs="Kokila"/>
                <w:sz w:val="28"/>
                <w:szCs w:val="24"/>
                <w:cs/>
                <w:lang w:val="en-US" w:bidi="mr-IN"/>
              </w:rPr>
              <w:t xml:space="preserve"> धोरणे निश्चित केली आहेत त्या अनुषंगाने हा अभ्यासक्रम नवीन शैक्षणिक धोरणाच्या परीक्षेत निश्चित करण्याचे धोरण संत गाडगे बाबा अमरावती विद्यापीठाने अत्यंत विचारपूर्वक स्वीकारलेले आहे.</w:t>
            </w:r>
          </w:p>
        </w:tc>
      </w:tr>
    </w:tbl>
    <w:p w:rsidR="006D6259" w:rsidRDefault="006D6259">
      <w:bookmarkStart w:id="0" w:name="_GoBack"/>
      <w:bookmarkEnd w:id="0"/>
    </w:p>
    <w:sectPr w:rsidR="006D6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59"/>
    <w:rsid w:val="006D6259"/>
    <w:rsid w:val="009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59"/>
    <w:pPr>
      <w:spacing w:after="160" w:line="259" w:lineRule="auto"/>
    </w:pPr>
    <w:rPr>
      <w:kern w:val="2"/>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259"/>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59"/>
    <w:pPr>
      <w:spacing w:after="160" w:line="259" w:lineRule="auto"/>
    </w:pPr>
    <w:rPr>
      <w:kern w:val="2"/>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259"/>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1</cp:revision>
  <dcterms:created xsi:type="dcterms:W3CDTF">2024-04-11T05:14:00Z</dcterms:created>
  <dcterms:modified xsi:type="dcterms:W3CDTF">2024-04-11T05:17:00Z</dcterms:modified>
</cp:coreProperties>
</file>